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044" w:rsidRDefault="00A56044" w:rsidP="00A56044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486"/>
        <w:jc w:val="left"/>
        <w:textAlignment w:val="baseline"/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様式第４－②</w:t>
      </w:r>
    </w:p>
    <w:p w:rsidR="00765589" w:rsidRPr="00DC3EFD" w:rsidRDefault="007259FA" w:rsidP="00765589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486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令和　</w:t>
      </w:r>
      <w:r w:rsidR="00765589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年　　月　　日</w:t>
      </w:r>
    </w:p>
    <w:p w:rsidR="0026734C" w:rsidRPr="00DC3EFD" w:rsidRDefault="00765589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中小企業信用保険法第２条第５項第４号認定申請</w:t>
      </w:r>
      <w:r w:rsidR="00723F9F">
        <w:rPr>
          <w:rFonts w:asciiTheme="majorEastAsia" w:eastAsiaTheme="majorEastAsia" w:hAnsiTheme="majorEastAsia" w:cs="Times New Roman" w:hint="eastAsia"/>
          <w:szCs w:val="21"/>
        </w:rPr>
        <w:t>書添付書類</w:t>
      </w:r>
    </w:p>
    <w:p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765589" w:rsidRPr="00DC3EFD" w:rsidRDefault="005C3CEC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愛荘町</w:t>
      </w:r>
      <w:r w:rsidR="00765589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長　様</w:t>
      </w:r>
    </w:p>
    <w:p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申請者</w:t>
      </w:r>
    </w:p>
    <w:p w:rsidR="00765589" w:rsidRPr="00DC3EFD" w:rsidRDefault="00765589" w:rsidP="007259F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住　所　　　　　　　　　　　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  <w:u w:val="single" w:color="000000"/>
        </w:rPr>
        <w:t xml:space="preserve">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</w:t>
      </w:r>
    </w:p>
    <w:p w:rsidR="00765589" w:rsidRPr="00DC3EFD" w:rsidRDefault="00765589" w:rsidP="007259F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氏　名　</w:t>
      </w:r>
      <w:r w:rsid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　　　　　　　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>印</w:t>
      </w:r>
    </w:p>
    <w:p w:rsidR="00A56044" w:rsidRDefault="00A56044" w:rsidP="00A56044">
      <w:pPr>
        <w:suppressAutoHyphens/>
        <w:kinsoku w:val="0"/>
        <w:wordWrap w:val="0"/>
        <w:autoSpaceDE w:val="0"/>
        <w:autoSpaceDN w:val="0"/>
        <w:spacing w:line="366" w:lineRule="atLeast"/>
        <w:ind w:left="303" w:hangingChars="117" w:hanging="303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16"/>
          <w:kern w:val="0"/>
          <w:szCs w:val="21"/>
        </w:rPr>
        <w:t xml:space="preserve">　　　　　　　　　　</w:t>
      </w:r>
      <w:r>
        <w:rPr>
          <w:rFonts w:asciiTheme="majorEastAsia" w:eastAsiaTheme="majorEastAsia" w:hAnsiTheme="majorEastAsia" w:hint="eastAsia"/>
        </w:rPr>
        <w:t>※代表者氏名欄は記名押印に代えて、署名することができます</w:t>
      </w:r>
    </w:p>
    <w:p w:rsidR="00765589" w:rsidRPr="00A56044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3A6030" w:rsidRPr="00DC3EFD" w:rsidRDefault="0023316B" w:rsidP="00765589">
      <w:pPr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以下に</w:t>
      </w:r>
      <w:r w:rsidR="00765589" w:rsidRPr="00DC3EFD">
        <w:rPr>
          <w:rFonts w:asciiTheme="majorEastAsia" w:eastAsiaTheme="majorEastAsia" w:hAnsiTheme="majorEastAsia" w:cs="Times New Roman" w:hint="eastAsia"/>
          <w:szCs w:val="21"/>
        </w:rPr>
        <w:t>転記の売上高等金額及びそれを証明する資料に相違はありません。</w:t>
      </w:r>
    </w:p>
    <w:p w:rsidR="0026734C" w:rsidRPr="00DC3EFD" w:rsidRDefault="0026734C" w:rsidP="0026734C">
      <w:pPr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１　最近１</w:t>
      </w:r>
      <w:r w:rsidR="003A6030" w:rsidRPr="00DC3EFD">
        <w:rPr>
          <w:rFonts w:asciiTheme="majorEastAsia" w:eastAsiaTheme="majorEastAsia" w:hAnsiTheme="majorEastAsia" w:cs="Times New Roman" w:hint="eastAsia"/>
          <w:szCs w:val="21"/>
        </w:rPr>
        <w:t>箇月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間の売上高について</w:t>
      </w:r>
    </w:p>
    <w:p w:rsidR="0026734C" w:rsidRPr="00DC3EFD" w:rsidRDefault="0026734C" w:rsidP="0026734C">
      <w:pPr>
        <w:numPr>
          <w:ilvl w:val="1"/>
          <w:numId w:val="1"/>
        </w:numPr>
        <w:jc w:val="left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最近１</w:t>
      </w:r>
      <w:r w:rsidR="003A6030" w:rsidRPr="00DC3EFD">
        <w:rPr>
          <w:rFonts w:asciiTheme="majorEastAsia" w:eastAsiaTheme="majorEastAsia" w:hAnsiTheme="majorEastAsia" w:cs="Times New Roman" w:hint="eastAsia"/>
          <w:szCs w:val="21"/>
        </w:rPr>
        <w:t>箇月</w:t>
      </w:r>
      <w:r w:rsidR="00846298">
        <w:rPr>
          <w:rFonts w:asciiTheme="majorEastAsia" w:eastAsiaTheme="majorEastAsia" w:hAnsiTheme="majorEastAsia" w:cs="Times New Roman" w:hint="eastAsia"/>
          <w:szCs w:val="21"/>
        </w:rPr>
        <w:t>間</w:t>
      </w:r>
      <w:r w:rsidR="00D51006">
        <w:rPr>
          <w:rFonts w:asciiTheme="majorEastAsia" w:eastAsiaTheme="majorEastAsia" w:hAnsiTheme="majorEastAsia" w:cs="Times New Roman" w:hint="eastAsia"/>
          <w:szCs w:val="21"/>
        </w:rPr>
        <w:t xml:space="preserve">の売上高について　　　　　　　　　　　　　　　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（単位：千円）</w:t>
      </w:r>
    </w:p>
    <w:tbl>
      <w:tblPr>
        <w:tblStyle w:val="a3"/>
        <w:tblW w:w="8506" w:type="dxa"/>
        <w:tblInd w:w="420" w:type="dxa"/>
        <w:tblLook w:val="04A0" w:firstRow="1" w:lastRow="0" w:firstColumn="1" w:lastColumn="0" w:noHBand="0" w:noVBand="1"/>
      </w:tblPr>
      <w:tblGrid>
        <w:gridCol w:w="2977"/>
        <w:gridCol w:w="5529"/>
      </w:tblGrid>
      <w:tr w:rsidR="0026734C" w:rsidRPr="00DC3EFD" w:rsidTr="003A6030">
        <w:tc>
          <w:tcPr>
            <w:tcW w:w="2977" w:type="dxa"/>
            <w:vMerge w:val="restart"/>
          </w:tcPr>
          <w:p w:rsidR="0026734C" w:rsidRPr="00DC3EFD" w:rsidRDefault="0026734C" w:rsidP="00765589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3EFD">
              <w:rPr>
                <w:rFonts w:asciiTheme="majorEastAsia" w:eastAsiaTheme="majorEastAsia" w:hAnsiTheme="majorEastAsia" w:hint="eastAsia"/>
                <w:szCs w:val="21"/>
              </w:rPr>
              <w:t>最近の売上高（実績）</w:t>
            </w:r>
          </w:p>
        </w:tc>
        <w:tc>
          <w:tcPr>
            <w:tcW w:w="5529" w:type="dxa"/>
          </w:tcPr>
          <w:p w:rsidR="0026734C" w:rsidRPr="00DC3EFD" w:rsidRDefault="0026734C" w:rsidP="0026734C">
            <w:pPr>
              <w:ind w:firstLineChars="900" w:firstLine="2041"/>
              <w:rPr>
                <w:rFonts w:asciiTheme="majorEastAsia" w:eastAsiaTheme="majorEastAsia" w:hAnsiTheme="majorEastAsia"/>
                <w:szCs w:val="21"/>
              </w:rPr>
            </w:pPr>
            <w:r w:rsidRPr="00DC3EFD">
              <w:rPr>
                <w:rFonts w:asciiTheme="majorEastAsia" w:eastAsiaTheme="majorEastAsia" w:hAnsiTheme="majorEastAsia" w:hint="eastAsia"/>
                <w:szCs w:val="21"/>
              </w:rPr>
              <w:t xml:space="preserve">　年　　　　　月</w:t>
            </w:r>
          </w:p>
        </w:tc>
      </w:tr>
      <w:tr w:rsidR="0026734C" w:rsidRPr="00DC3EFD" w:rsidTr="003A6030">
        <w:tc>
          <w:tcPr>
            <w:tcW w:w="2977" w:type="dxa"/>
            <w:vMerge/>
          </w:tcPr>
          <w:p w:rsidR="0026734C" w:rsidRPr="00DC3EFD" w:rsidRDefault="0026734C" w:rsidP="002673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29" w:type="dxa"/>
          </w:tcPr>
          <w:p w:rsidR="0026734C" w:rsidRPr="00DC3EFD" w:rsidRDefault="0026734C" w:rsidP="0026734C">
            <w:pPr>
              <w:rPr>
                <w:rFonts w:asciiTheme="majorEastAsia" w:eastAsiaTheme="majorEastAsia" w:hAnsiTheme="majorEastAsia"/>
                <w:szCs w:val="21"/>
              </w:rPr>
            </w:pPr>
            <w:r w:rsidRPr="00DC3EF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千円【Ａ】</w:t>
            </w:r>
          </w:p>
        </w:tc>
      </w:tr>
    </w:tbl>
    <w:p w:rsidR="0026734C" w:rsidRPr="00DC3EFD" w:rsidRDefault="0026734C" w:rsidP="0026734C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26734C" w:rsidRPr="00DC3EFD" w:rsidRDefault="0026734C" w:rsidP="0026734C">
      <w:pPr>
        <w:numPr>
          <w:ilvl w:val="1"/>
          <w:numId w:val="1"/>
        </w:numPr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上記の期間に対応する前年１</w:t>
      </w:r>
      <w:r w:rsidR="003A6030" w:rsidRPr="00DC3EFD">
        <w:rPr>
          <w:rFonts w:asciiTheme="majorEastAsia" w:eastAsiaTheme="majorEastAsia" w:hAnsiTheme="majorEastAsia" w:cs="Times New Roman" w:hint="eastAsia"/>
          <w:szCs w:val="21"/>
        </w:rPr>
        <w:t>箇月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間の売上高　　　　　　　　　（単位：千円）</w:t>
      </w:r>
    </w:p>
    <w:tbl>
      <w:tblPr>
        <w:tblStyle w:val="a3"/>
        <w:tblW w:w="8506" w:type="dxa"/>
        <w:tblInd w:w="420" w:type="dxa"/>
        <w:tblLook w:val="04A0" w:firstRow="1" w:lastRow="0" w:firstColumn="1" w:lastColumn="0" w:noHBand="0" w:noVBand="1"/>
      </w:tblPr>
      <w:tblGrid>
        <w:gridCol w:w="2977"/>
        <w:gridCol w:w="5529"/>
      </w:tblGrid>
      <w:tr w:rsidR="0026734C" w:rsidRPr="00DC3EFD" w:rsidTr="003A6030">
        <w:tc>
          <w:tcPr>
            <w:tcW w:w="2977" w:type="dxa"/>
            <w:vMerge w:val="restart"/>
          </w:tcPr>
          <w:p w:rsidR="0026734C" w:rsidRPr="00DC3EFD" w:rsidRDefault="0026734C" w:rsidP="00765589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3EFD">
              <w:rPr>
                <w:rFonts w:asciiTheme="majorEastAsia" w:eastAsiaTheme="majorEastAsia" w:hAnsiTheme="majorEastAsia" w:hint="eastAsia"/>
                <w:szCs w:val="21"/>
              </w:rPr>
              <w:t>前年同月の売上高（実績）</w:t>
            </w:r>
          </w:p>
        </w:tc>
        <w:tc>
          <w:tcPr>
            <w:tcW w:w="5529" w:type="dxa"/>
          </w:tcPr>
          <w:p w:rsidR="0026734C" w:rsidRPr="00DC3EFD" w:rsidRDefault="0026734C" w:rsidP="0026734C">
            <w:pPr>
              <w:ind w:firstLineChars="900" w:firstLine="2041"/>
              <w:rPr>
                <w:rFonts w:asciiTheme="majorEastAsia" w:eastAsiaTheme="majorEastAsia" w:hAnsiTheme="majorEastAsia"/>
                <w:szCs w:val="21"/>
              </w:rPr>
            </w:pPr>
            <w:r w:rsidRPr="00DC3EFD">
              <w:rPr>
                <w:rFonts w:asciiTheme="majorEastAsia" w:eastAsiaTheme="majorEastAsia" w:hAnsiTheme="majorEastAsia" w:hint="eastAsia"/>
                <w:szCs w:val="21"/>
              </w:rPr>
              <w:t xml:space="preserve">　年　　　　　月</w:t>
            </w:r>
          </w:p>
        </w:tc>
      </w:tr>
      <w:tr w:rsidR="0026734C" w:rsidRPr="00DC3EFD" w:rsidTr="003A6030">
        <w:tc>
          <w:tcPr>
            <w:tcW w:w="2977" w:type="dxa"/>
            <w:vMerge/>
          </w:tcPr>
          <w:p w:rsidR="0026734C" w:rsidRPr="00DC3EFD" w:rsidRDefault="0026734C" w:rsidP="002673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29" w:type="dxa"/>
          </w:tcPr>
          <w:p w:rsidR="0026734C" w:rsidRPr="00DC3EFD" w:rsidRDefault="0026734C" w:rsidP="0026734C">
            <w:pPr>
              <w:rPr>
                <w:rFonts w:asciiTheme="majorEastAsia" w:eastAsiaTheme="majorEastAsia" w:hAnsiTheme="majorEastAsia"/>
                <w:szCs w:val="21"/>
              </w:rPr>
            </w:pPr>
            <w:r w:rsidRPr="00DC3EF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千円【Ｂ】</w:t>
            </w:r>
          </w:p>
        </w:tc>
      </w:tr>
    </w:tbl>
    <w:p w:rsidR="0026734C" w:rsidRPr="00DC3EFD" w:rsidRDefault="0026734C" w:rsidP="0026734C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26734C" w:rsidRPr="00DC3EFD" w:rsidRDefault="003A6030" w:rsidP="0026734C">
      <w:pPr>
        <w:numPr>
          <w:ilvl w:val="1"/>
          <w:numId w:val="1"/>
        </w:numPr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最近１箇月間の売上高等の実績減少率</w:t>
      </w:r>
    </w:p>
    <w:p w:rsidR="003A6030" w:rsidRPr="00DC3EFD" w:rsidRDefault="0026734C" w:rsidP="00765589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（　Ｂ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―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Ａ　）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÷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Ｂ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×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="00743C4E">
        <w:rPr>
          <w:rFonts w:asciiTheme="majorEastAsia" w:eastAsiaTheme="majorEastAsia" w:hAnsiTheme="majorEastAsia" w:cs="Times New Roman" w:hint="eastAsia"/>
          <w:szCs w:val="21"/>
        </w:rPr>
        <w:t>1</w:t>
      </w:r>
      <w:r w:rsidR="00743C4E">
        <w:rPr>
          <w:rFonts w:asciiTheme="majorEastAsia" w:eastAsiaTheme="majorEastAsia" w:hAnsiTheme="majorEastAsia" w:cs="Times New Roman"/>
          <w:szCs w:val="21"/>
        </w:rPr>
        <w:t>00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＝</w:t>
      </w:r>
      <w:r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％</w:t>
      </w:r>
      <w:r w:rsidR="003A6030" w:rsidRPr="00DC3EFD">
        <w:rPr>
          <w:rFonts w:asciiTheme="majorEastAsia" w:eastAsiaTheme="majorEastAsia" w:hAnsiTheme="majorEastAsia" w:cs="Times New Roman" w:hint="eastAsia"/>
          <w:szCs w:val="21"/>
        </w:rPr>
        <w:t>≧</w:t>
      </w:r>
      <w:r w:rsidR="00743C4E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="00743C4E">
        <w:rPr>
          <w:rFonts w:asciiTheme="majorEastAsia" w:eastAsiaTheme="majorEastAsia" w:hAnsiTheme="majorEastAsia" w:cs="Times New Roman"/>
          <w:szCs w:val="21"/>
        </w:rPr>
        <w:t xml:space="preserve">20.0 </w:t>
      </w:r>
      <w:r w:rsidR="003A6030" w:rsidRPr="00DC3EFD">
        <w:rPr>
          <w:rFonts w:asciiTheme="majorEastAsia" w:eastAsiaTheme="majorEastAsia" w:hAnsiTheme="majorEastAsia" w:cs="Times New Roman" w:hint="eastAsia"/>
          <w:szCs w:val="21"/>
        </w:rPr>
        <w:t>％</w:t>
      </w:r>
    </w:p>
    <w:p w:rsidR="0026734C" w:rsidRPr="00DC3EFD" w:rsidRDefault="0026734C" w:rsidP="0026734C">
      <w:pPr>
        <w:rPr>
          <w:rFonts w:asciiTheme="majorEastAsia" w:eastAsiaTheme="majorEastAsia" w:hAnsiTheme="majorEastAsia" w:cs="Times New Roman"/>
          <w:szCs w:val="21"/>
        </w:rPr>
      </w:pPr>
    </w:p>
    <w:p w:rsidR="0026734C" w:rsidRPr="00DC3EFD" w:rsidRDefault="0026734C" w:rsidP="0026734C">
      <w:pPr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２　１の期間後２</w:t>
      </w:r>
      <w:r w:rsidR="003A6030" w:rsidRPr="00DC3EFD">
        <w:rPr>
          <w:rFonts w:asciiTheme="majorEastAsia" w:eastAsiaTheme="majorEastAsia" w:hAnsiTheme="majorEastAsia" w:cs="Times New Roman" w:hint="eastAsia"/>
          <w:szCs w:val="21"/>
        </w:rPr>
        <w:t>箇月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間の見込売上高について</w:t>
      </w:r>
    </w:p>
    <w:p w:rsidR="0026734C" w:rsidRPr="00DC3EFD" w:rsidRDefault="0026734C" w:rsidP="003A6030">
      <w:pPr>
        <w:numPr>
          <w:ilvl w:val="0"/>
          <w:numId w:val="3"/>
        </w:numPr>
        <w:jc w:val="left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１の</w:t>
      </w:r>
      <w:r w:rsidRPr="00DC3EFD">
        <w:rPr>
          <w:rFonts w:asciiTheme="majorEastAsia" w:eastAsiaTheme="majorEastAsia" w:hAnsiTheme="majorEastAsia" w:cs="Times New Roman"/>
          <w:szCs w:val="21"/>
        </w:rPr>
        <w:t>(1)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の期間後２</w:t>
      </w:r>
      <w:r w:rsidR="003A6030" w:rsidRPr="00DC3EFD">
        <w:rPr>
          <w:rFonts w:asciiTheme="majorEastAsia" w:eastAsiaTheme="majorEastAsia" w:hAnsiTheme="majorEastAsia" w:cs="Times New Roman" w:hint="eastAsia"/>
          <w:szCs w:val="21"/>
        </w:rPr>
        <w:t>箇月</w:t>
      </w:r>
      <w:r w:rsidR="00FD2736">
        <w:rPr>
          <w:rFonts w:asciiTheme="majorEastAsia" w:eastAsiaTheme="majorEastAsia" w:hAnsiTheme="majorEastAsia" w:cs="Times New Roman" w:hint="eastAsia"/>
          <w:szCs w:val="21"/>
        </w:rPr>
        <w:t xml:space="preserve">間の見込売上高　　　　　　　　　　　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 xml:space="preserve">（単位：千円）　</w:t>
      </w:r>
    </w:p>
    <w:tbl>
      <w:tblPr>
        <w:tblStyle w:val="a3"/>
        <w:tblW w:w="8506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269"/>
        <w:gridCol w:w="2097"/>
        <w:gridCol w:w="2126"/>
        <w:gridCol w:w="2014"/>
      </w:tblGrid>
      <w:tr w:rsidR="003A6030" w:rsidRPr="00DC3EFD" w:rsidTr="00FD2736">
        <w:trPr>
          <w:trHeight w:val="232"/>
        </w:trPr>
        <w:tc>
          <w:tcPr>
            <w:tcW w:w="2269" w:type="dxa"/>
            <w:vMerge w:val="restart"/>
            <w:hideMark/>
          </w:tcPr>
          <w:p w:rsidR="003A6030" w:rsidRPr="00DC3EFD" w:rsidRDefault="003A6030" w:rsidP="0076558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今後２箇月の売上高（見込）</w:t>
            </w:r>
          </w:p>
        </w:tc>
        <w:tc>
          <w:tcPr>
            <w:tcW w:w="2097" w:type="dxa"/>
            <w:hideMark/>
          </w:tcPr>
          <w:p w:rsidR="003A6030" w:rsidRPr="00DC3EFD" w:rsidRDefault="003A6030" w:rsidP="003A603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2126" w:type="dxa"/>
            <w:hideMark/>
          </w:tcPr>
          <w:p w:rsidR="003A6030" w:rsidRPr="00DC3EFD" w:rsidRDefault="003A6030" w:rsidP="003A603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2014" w:type="dxa"/>
            <w:hideMark/>
          </w:tcPr>
          <w:p w:rsidR="003A6030" w:rsidRPr="00DC3EFD" w:rsidRDefault="003A6030" w:rsidP="003A6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２箇月間の合計</w:t>
            </w:r>
          </w:p>
        </w:tc>
      </w:tr>
      <w:tr w:rsidR="003A6030" w:rsidRPr="00DC3EFD" w:rsidTr="00FD2736">
        <w:trPr>
          <w:trHeight w:val="364"/>
        </w:trPr>
        <w:tc>
          <w:tcPr>
            <w:tcW w:w="2269" w:type="dxa"/>
            <w:vMerge/>
            <w:hideMark/>
          </w:tcPr>
          <w:p w:rsidR="003A6030" w:rsidRPr="00DC3EFD" w:rsidRDefault="003A6030" w:rsidP="003A60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restart"/>
            <w:hideMark/>
          </w:tcPr>
          <w:p w:rsidR="003A6030" w:rsidRPr="00DC3EFD" w:rsidRDefault="003A6030" w:rsidP="003A603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A6030" w:rsidRPr="00DC3EFD" w:rsidRDefault="003A6030" w:rsidP="003A603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126" w:type="dxa"/>
            <w:vMerge w:val="restart"/>
            <w:hideMark/>
          </w:tcPr>
          <w:p w:rsidR="003A6030" w:rsidRPr="00DC3EFD" w:rsidRDefault="003A6030" w:rsidP="003A603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A6030" w:rsidRPr="00DC3EFD" w:rsidRDefault="003A6030" w:rsidP="003A603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014" w:type="dxa"/>
            <w:vMerge w:val="restart"/>
            <w:hideMark/>
          </w:tcPr>
          <w:p w:rsidR="003A6030" w:rsidRPr="00DC3EFD" w:rsidRDefault="003A6030" w:rsidP="003A603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A6030" w:rsidRPr="00DC3EFD" w:rsidRDefault="003A6030" w:rsidP="003A603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千円【Ｃ】</w:t>
            </w:r>
          </w:p>
        </w:tc>
      </w:tr>
      <w:tr w:rsidR="003A6030" w:rsidRPr="00DC3EFD" w:rsidTr="00FD2736">
        <w:trPr>
          <w:trHeight w:val="364"/>
        </w:trPr>
        <w:tc>
          <w:tcPr>
            <w:tcW w:w="2269" w:type="dxa"/>
            <w:vMerge/>
            <w:hideMark/>
          </w:tcPr>
          <w:p w:rsidR="003A6030" w:rsidRPr="00DC3EFD" w:rsidRDefault="003A6030" w:rsidP="003A60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/>
            <w:hideMark/>
          </w:tcPr>
          <w:p w:rsidR="003A6030" w:rsidRPr="00DC3EFD" w:rsidRDefault="003A6030" w:rsidP="003A60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hideMark/>
          </w:tcPr>
          <w:p w:rsidR="003A6030" w:rsidRPr="00DC3EFD" w:rsidRDefault="003A6030" w:rsidP="003A60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/>
            <w:hideMark/>
          </w:tcPr>
          <w:p w:rsidR="003A6030" w:rsidRPr="00DC3EFD" w:rsidRDefault="003A6030" w:rsidP="003A60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:rsidR="0026734C" w:rsidRPr="00DC3EFD" w:rsidRDefault="0026734C" w:rsidP="0026734C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26734C" w:rsidRPr="00DC3EFD" w:rsidRDefault="0026734C" w:rsidP="003A6030">
      <w:pPr>
        <w:numPr>
          <w:ilvl w:val="0"/>
          <w:numId w:val="3"/>
        </w:numPr>
        <w:jc w:val="left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上記の期間に対応する前年２</w:t>
      </w:r>
      <w:r w:rsidR="003A6030" w:rsidRPr="00DC3EFD">
        <w:rPr>
          <w:rFonts w:asciiTheme="majorEastAsia" w:eastAsiaTheme="majorEastAsia" w:hAnsiTheme="majorEastAsia" w:cs="Times New Roman" w:hint="eastAsia"/>
          <w:szCs w:val="21"/>
        </w:rPr>
        <w:t>箇月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間の売上高　　　　　　　　　（単位：千円）</w:t>
      </w:r>
    </w:p>
    <w:tbl>
      <w:tblPr>
        <w:tblStyle w:val="a3"/>
        <w:tblW w:w="8506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269"/>
        <w:gridCol w:w="2097"/>
        <w:gridCol w:w="2126"/>
        <w:gridCol w:w="2014"/>
      </w:tblGrid>
      <w:tr w:rsidR="003A6030" w:rsidRPr="00DC3EFD" w:rsidTr="00FD2736">
        <w:trPr>
          <w:trHeight w:val="232"/>
        </w:trPr>
        <w:tc>
          <w:tcPr>
            <w:tcW w:w="2269" w:type="dxa"/>
            <w:vMerge w:val="restart"/>
            <w:hideMark/>
          </w:tcPr>
          <w:p w:rsidR="003A6030" w:rsidRPr="00DC3EFD" w:rsidRDefault="00885B73" w:rsidP="00765589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前年２箇月の売上高（実績</w:t>
            </w:r>
            <w:r w:rsidR="003A6030"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97" w:type="dxa"/>
            <w:hideMark/>
          </w:tcPr>
          <w:p w:rsidR="003A6030" w:rsidRPr="00DC3EFD" w:rsidRDefault="003A6030" w:rsidP="007C2B7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2126" w:type="dxa"/>
            <w:hideMark/>
          </w:tcPr>
          <w:p w:rsidR="003A6030" w:rsidRPr="00DC3EFD" w:rsidRDefault="003A6030" w:rsidP="007C2B7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2014" w:type="dxa"/>
            <w:hideMark/>
          </w:tcPr>
          <w:p w:rsidR="003A6030" w:rsidRPr="00DC3EFD" w:rsidRDefault="003A6030" w:rsidP="007C2B7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２箇月間の合計</w:t>
            </w:r>
          </w:p>
        </w:tc>
      </w:tr>
      <w:tr w:rsidR="003A6030" w:rsidRPr="00DC3EFD" w:rsidTr="00FD2736">
        <w:trPr>
          <w:trHeight w:val="364"/>
        </w:trPr>
        <w:tc>
          <w:tcPr>
            <w:tcW w:w="2269" w:type="dxa"/>
            <w:vMerge/>
            <w:hideMark/>
          </w:tcPr>
          <w:p w:rsidR="003A6030" w:rsidRPr="00DC3EFD" w:rsidRDefault="003A6030" w:rsidP="007C2B7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restart"/>
            <w:hideMark/>
          </w:tcPr>
          <w:p w:rsidR="003A6030" w:rsidRPr="00DC3EFD" w:rsidRDefault="003A6030" w:rsidP="007C2B7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A6030" w:rsidRPr="00DC3EFD" w:rsidRDefault="003A6030" w:rsidP="007C2B7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126" w:type="dxa"/>
            <w:vMerge w:val="restart"/>
            <w:hideMark/>
          </w:tcPr>
          <w:p w:rsidR="003A6030" w:rsidRPr="00DC3EFD" w:rsidRDefault="003A6030" w:rsidP="007C2B7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A6030" w:rsidRPr="00DC3EFD" w:rsidRDefault="003A6030" w:rsidP="007C2B7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014" w:type="dxa"/>
            <w:vMerge w:val="restart"/>
            <w:hideMark/>
          </w:tcPr>
          <w:p w:rsidR="003A6030" w:rsidRPr="00DC3EFD" w:rsidRDefault="003A6030" w:rsidP="007C2B7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3A6030" w:rsidRPr="00DC3EFD" w:rsidRDefault="003A6030" w:rsidP="007C2B7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千円【Ｄ】</w:t>
            </w:r>
          </w:p>
        </w:tc>
      </w:tr>
      <w:tr w:rsidR="003A6030" w:rsidRPr="00DC3EFD" w:rsidTr="00FD2736">
        <w:trPr>
          <w:trHeight w:val="364"/>
        </w:trPr>
        <w:tc>
          <w:tcPr>
            <w:tcW w:w="2269" w:type="dxa"/>
            <w:vMerge/>
            <w:hideMark/>
          </w:tcPr>
          <w:p w:rsidR="003A6030" w:rsidRPr="00DC3EFD" w:rsidRDefault="003A6030" w:rsidP="007C2B7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/>
            <w:hideMark/>
          </w:tcPr>
          <w:p w:rsidR="003A6030" w:rsidRPr="00DC3EFD" w:rsidRDefault="003A6030" w:rsidP="007C2B7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hideMark/>
          </w:tcPr>
          <w:p w:rsidR="003A6030" w:rsidRPr="00DC3EFD" w:rsidRDefault="003A6030" w:rsidP="007C2B7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/>
            <w:hideMark/>
          </w:tcPr>
          <w:p w:rsidR="003A6030" w:rsidRPr="00DC3EFD" w:rsidRDefault="003A6030" w:rsidP="007C2B7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:rsidR="0026734C" w:rsidRPr="00DC3EFD" w:rsidRDefault="0026734C" w:rsidP="0026734C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26734C" w:rsidRPr="00DC3EFD" w:rsidRDefault="003A6030" w:rsidP="003A6030">
      <w:pPr>
        <w:numPr>
          <w:ilvl w:val="0"/>
          <w:numId w:val="3"/>
        </w:numPr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最近３箇月間の売上高等の実績見込み減少率</w:t>
      </w:r>
    </w:p>
    <w:p w:rsidR="0026734C" w:rsidRPr="00DC3EFD" w:rsidRDefault="0026734C" w:rsidP="00765589">
      <w:pPr>
        <w:spacing w:line="360" w:lineRule="auto"/>
        <w:ind w:left="420" w:firstLineChars="100" w:firstLine="227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Ａ＋Ｃ＝</w:t>
      </w:r>
      <w:r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　　千円</w:t>
      </w:r>
      <w:r w:rsidR="003A6030"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>（本年度売上高）</w:t>
      </w:r>
    </w:p>
    <w:p w:rsidR="0026734C" w:rsidRPr="00DC3EFD" w:rsidRDefault="0026734C" w:rsidP="00765589">
      <w:pPr>
        <w:spacing w:line="360" w:lineRule="auto"/>
        <w:ind w:firstLineChars="300" w:firstLine="680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Ｂ＋Ｄ＝</w:t>
      </w:r>
      <w:r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　　千円</w:t>
      </w:r>
      <w:r w:rsidR="003A6030"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>（前年度売上高）</w:t>
      </w:r>
    </w:p>
    <w:p w:rsidR="0026734C" w:rsidRPr="00DC3EFD" w:rsidRDefault="0026734C" w:rsidP="00A56044">
      <w:pPr>
        <w:ind w:firstLineChars="300" w:firstLine="680"/>
        <w:rPr>
          <w:rFonts w:asciiTheme="majorEastAsia" w:eastAsiaTheme="majorEastAsia" w:hAnsiTheme="majorEastAsia" w:cs="Times New Roman" w:hint="eastAsia"/>
          <w:szCs w:val="21"/>
        </w:rPr>
      </w:pPr>
      <w:r w:rsidRPr="00DC3EFD">
        <w:rPr>
          <w:rFonts w:asciiTheme="majorEastAsia" w:eastAsiaTheme="majorEastAsia" w:hAnsiTheme="majorEastAsia" w:cs="Times New Roman"/>
          <w:szCs w:val="21"/>
        </w:rPr>
        <w:t>{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（Ｂ＋Ｄ）－（Ａ＋Ｃ）</w:t>
      </w:r>
      <w:r w:rsidRPr="00DC3EFD">
        <w:rPr>
          <w:rFonts w:asciiTheme="majorEastAsia" w:eastAsiaTheme="majorEastAsia" w:hAnsiTheme="majorEastAsia" w:cs="Times New Roman"/>
          <w:szCs w:val="21"/>
        </w:rPr>
        <w:t>}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÷（Ｂ＋Ｄ）×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="00743C4E">
        <w:rPr>
          <w:rFonts w:asciiTheme="majorEastAsia" w:eastAsiaTheme="majorEastAsia" w:hAnsiTheme="majorEastAsia" w:cs="Times New Roman" w:hint="eastAsia"/>
          <w:szCs w:val="21"/>
        </w:rPr>
        <w:t>1</w:t>
      </w:r>
      <w:r w:rsidR="00743C4E">
        <w:rPr>
          <w:rFonts w:asciiTheme="majorEastAsia" w:eastAsiaTheme="majorEastAsia" w:hAnsiTheme="majorEastAsia" w:cs="Times New Roman"/>
          <w:szCs w:val="21"/>
        </w:rPr>
        <w:t xml:space="preserve">00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＝</w:t>
      </w:r>
      <w:r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％</w:t>
      </w:r>
      <w:r w:rsidR="003A6030" w:rsidRPr="00DC3EFD">
        <w:rPr>
          <w:rFonts w:asciiTheme="majorEastAsia" w:eastAsiaTheme="majorEastAsia" w:hAnsiTheme="majorEastAsia" w:cs="Times New Roman" w:hint="eastAsia"/>
          <w:szCs w:val="21"/>
        </w:rPr>
        <w:t>≧</w:t>
      </w:r>
      <w:r w:rsidR="00743C4E">
        <w:rPr>
          <w:rFonts w:asciiTheme="majorEastAsia" w:eastAsiaTheme="majorEastAsia" w:hAnsiTheme="majorEastAsia" w:cs="Times New Roman" w:hint="eastAsia"/>
          <w:szCs w:val="21"/>
        </w:rPr>
        <w:t xml:space="preserve"> 2</w:t>
      </w:r>
      <w:r w:rsidR="00743C4E">
        <w:rPr>
          <w:rFonts w:asciiTheme="majorEastAsia" w:eastAsiaTheme="majorEastAsia" w:hAnsiTheme="majorEastAsia" w:cs="Times New Roman"/>
          <w:szCs w:val="21"/>
        </w:rPr>
        <w:t xml:space="preserve">0.0 </w:t>
      </w:r>
      <w:r w:rsidR="003A6030" w:rsidRPr="00DC3EFD">
        <w:rPr>
          <w:rFonts w:asciiTheme="majorEastAsia" w:eastAsiaTheme="majorEastAsia" w:hAnsiTheme="majorEastAsia" w:cs="Times New Roman" w:hint="eastAsia"/>
          <w:szCs w:val="21"/>
        </w:rPr>
        <w:t>％</w:t>
      </w:r>
      <w:bookmarkStart w:id="0" w:name="_GoBack"/>
      <w:bookmarkEnd w:id="0"/>
    </w:p>
    <w:sectPr w:rsidR="0026734C" w:rsidRPr="00DC3EFD" w:rsidSect="008E0157">
      <w:type w:val="continuous"/>
      <w:pgSz w:w="11906" w:h="16838" w:code="9"/>
      <w:pgMar w:top="1134" w:right="1418" w:bottom="1134" w:left="1418" w:header="720" w:footer="720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7DF" w:rsidRDefault="004137DF" w:rsidP="009B6096">
      <w:r>
        <w:separator/>
      </w:r>
    </w:p>
  </w:endnote>
  <w:endnote w:type="continuationSeparator" w:id="0">
    <w:p w:rsidR="004137DF" w:rsidRDefault="004137DF" w:rsidP="009B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7DF" w:rsidRDefault="004137DF" w:rsidP="009B6096">
      <w:r>
        <w:separator/>
      </w:r>
    </w:p>
  </w:footnote>
  <w:footnote w:type="continuationSeparator" w:id="0">
    <w:p w:rsidR="004137DF" w:rsidRDefault="004137DF" w:rsidP="009B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6B1"/>
    <w:multiLevelType w:val="hybridMultilevel"/>
    <w:tmpl w:val="57B08E00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0CAC"/>
    <w:multiLevelType w:val="hybridMultilevel"/>
    <w:tmpl w:val="B5EE0096"/>
    <w:lvl w:ilvl="0" w:tplc="97F65AA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B5E6CBA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8D6CE4"/>
    <w:multiLevelType w:val="hybridMultilevel"/>
    <w:tmpl w:val="7D300454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F60"/>
    <w:rsid w:val="000A5907"/>
    <w:rsid w:val="0023316B"/>
    <w:rsid w:val="0026734C"/>
    <w:rsid w:val="003A6030"/>
    <w:rsid w:val="004137DF"/>
    <w:rsid w:val="00487241"/>
    <w:rsid w:val="004F798B"/>
    <w:rsid w:val="005C3CEC"/>
    <w:rsid w:val="00723F9F"/>
    <w:rsid w:val="007259FA"/>
    <w:rsid w:val="00742148"/>
    <w:rsid w:val="00743C4E"/>
    <w:rsid w:val="00765589"/>
    <w:rsid w:val="007D014F"/>
    <w:rsid w:val="00846298"/>
    <w:rsid w:val="00885B73"/>
    <w:rsid w:val="008B6E40"/>
    <w:rsid w:val="008E0157"/>
    <w:rsid w:val="008E5F60"/>
    <w:rsid w:val="00932A24"/>
    <w:rsid w:val="009B6096"/>
    <w:rsid w:val="00A56044"/>
    <w:rsid w:val="00BB44E0"/>
    <w:rsid w:val="00BD2E1A"/>
    <w:rsid w:val="00C96FD4"/>
    <w:rsid w:val="00D51006"/>
    <w:rsid w:val="00DC3EFD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70EEB1"/>
  <w15:docId w15:val="{FE30928A-EA7A-40AB-884D-45C80B00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E015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96"/>
  </w:style>
  <w:style w:type="paragraph" w:styleId="a6">
    <w:name w:val="footer"/>
    <w:basedOn w:val="a"/>
    <w:link w:val="a7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